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EES v0.2 Review Resolution Register</w:t>
      </w:r>
    </w:p>
    <w:p>
      <w:r>
        <w:rPr>
          <w:b/>
        </w:rPr>
        <w:t>Controlled companion to: Evidence Engineering Standard (EES) v0.2 Draft Frozen / Verified</w:t>
      </w:r>
    </w:p>
    <w:p>
      <w:r>
        <w:rPr>
          <w:b/>
        </w:rPr>
        <w:t>Source review: External Hostile &amp; Editorial Review, Proposed Resolution Pack and Final Validation Pass (Claude), 21 July 2026.</w:t>
      </w:r>
    </w:p>
    <w:p>
      <w:r>
        <w:rPr>
          <w:b/>
        </w:rPr>
        <w:t xml:space="preserve">Revision boundary: </w:t>
      </w:r>
      <w:r>
        <w:t>All structural and methodological issues were triaged. R-19 (worked domain example) is deferred pending primary-source verification. No CWPT case fact, legal conclusion or implementation-specific confidence mapping was incorporated into the standard.</w:t>
      </w:r>
    </w:p>
    <w:p>
      <w:pPr>
        <w:pStyle w:val="Heading1"/>
      </w:pPr>
      <w:r>
        <w:t>Decision principles</w:t>
      </w:r>
    </w:p>
    <w:p>
      <w:pPr>
        <w:pStyle w:val="ListBullet"/>
      </w:pPr>
      <w:r>
        <w:t>Claude wording was treated as a proposed remedy, not presumptively optimal text.</w:t>
      </w:r>
    </w:p>
    <w:p>
      <w:pPr>
        <w:pStyle w:val="ListBullet"/>
      </w:pPr>
      <w:r>
        <w:t>Domain-independent controls were preferred over NHS- or litigation-specific rules.</w:t>
      </w:r>
    </w:p>
    <w:p>
      <w:pPr>
        <w:pStyle w:val="ListBullet"/>
      </w:pPr>
      <w:r>
        <w:t>Normative force was increased only where a process defect materially threatened traceability, fairness or conformance.</w:t>
      </w:r>
    </w:p>
    <w:p>
      <w:pPr>
        <w:pStyle w:val="ListBullet"/>
      </w:pPr>
      <w:r>
        <w:t>Implementation-specific facts, legal characterisations and confidence labels remain outside the standard until independently verified and mapped.</w:t>
      </w:r>
    </w:p>
    <w:p>
      <w:pPr>
        <w:pStyle w:val="ListBullet"/>
      </w:pPr>
      <w:r>
        <w:t>Every accepted change was applied to the relevant clause, table and record template where operationalisation was required.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909"/>
        <w:gridCol w:w="2909"/>
        <w:gridCol w:w="2909"/>
        <w:gridCol w:w="2909"/>
        <w:gridCol w:w="2909"/>
      </w:tblGrid>
      <w:tr>
        <w:trPr>
          <w:tblHeader w:val="true"/>
        </w:trPr>
        <w:tc>
          <w:tcPr>
            <w:tcW w:type="dxa" w:w="792"/>
          </w:tcPr>
          <w:p>
            <w:r>
              <w:rPr>
                <w:b/>
              </w:rPr>
              <w:t>ID</w:t>
            </w:r>
          </w:p>
        </w:tc>
        <w:tc>
          <w:tcPr>
            <w:tcW w:type="dxa" w:w="1152"/>
          </w:tcPr>
          <w:p>
            <w:r>
              <w:rPr>
                <w:b/>
              </w:rPr>
              <w:t>Severity</w:t>
            </w:r>
          </w:p>
        </w:tc>
        <w:tc>
          <w:tcPr>
            <w:tcW w:type="dxa" w:w="2448"/>
          </w:tcPr>
          <w:p>
            <w:r>
              <w:rPr>
                <w:b/>
              </w:rPr>
              <w:t>Decision</w:t>
            </w:r>
          </w:p>
        </w:tc>
        <w:tc>
          <w:tcPr>
            <w:tcW w:type="dxa" w:w="7488"/>
          </w:tcPr>
          <w:p>
            <w:r>
              <w:rPr>
                <w:b/>
              </w:rPr>
              <w:t>Rationale</w:t>
            </w:r>
          </w:p>
        </w:tc>
        <w:tc>
          <w:tcPr>
            <w:tcW w:type="dxa" w:w="3456"/>
          </w:tcPr>
          <w:p>
            <w:r>
              <w:rPr>
                <w:b/>
              </w:rPr>
              <w:t>Applied change</w:t>
            </w:r>
          </w:p>
        </w:tc>
      </w:tr>
      <w:tr>
        <w:tc>
          <w:tcPr>
            <w:tcW w:type="dxa" w:w="2909"/>
            <w:vAlign w:val="top"/>
          </w:tcPr>
          <w:p>
            <w:r>
              <w:t>R-01</w:t>
            </w:r>
          </w:p>
        </w:tc>
        <w:tc>
          <w:tcPr>
            <w:tcW w:type="dxa" w:w="2909"/>
            <w:vAlign w:val="top"/>
          </w:tcPr>
          <w:p>
            <w:r>
              <w:t>Critical</w:t>
            </w:r>
          </w:p>
        </w:tc>
        <w:tc>
          <w:tcPr>
            <w:tcW w:type="dxa" w:w="2909"/>
            <w:vAlign w:val="top"/>
          </w:tcPr>
          <w:p>
            <w:r>
              <w:t>Accept - modified</w:t>
            </w:r>
          </w:p>
        </w:tc>
        <w:tc>
          <w:tcPr>
            <w:tcW w:type="dxa" w:w="2909"/>
            <w:vAlign w:val="top"/>
          </w:tcPr>
          <w:p>
            <w:r>
              <w:t>Purpose and commissioning context are now mandatory conformance disclosures; contrary evidence, competing interpretations and affected-party responses must be located.</w:t>
            </w:r>
          </w:p>
        </w:tc>
        <w:tc>
          <w:tcPr>
            <w:tcW w:type="dxa" w:w="2909"/>
            <w:vAlign w:val="top"/>
          </w:tcPr>
          <w:p>
            <w:r>
              <w:t>CO-4 and section 16.3 revised.</w:t>
            </w:r>
          </w:p>
        </w:tc>
      </w:tr>
      <w:tr>
        <w:tc>
          <w:tcPr>
            <w:tcW w:type="dxa" w:w="2909"/>
            <w:vAlign w:val="top"/>
          </w:tcPr>
          <w:p>
            <w:r>
              <w:t>R-02</w:t>
            </w:r>
          </w:p>
        </w:tc>
        <w:tc>
          <w:tcPr>
            <w:tcW w:type="dxa" w:w="2909"/>
            <w:vAlign w:val="top"/>
          </w:tcPr>
          <w:p>
            <w:r>
              <w:t>Major</w:t>
            </w:r>
          </w:p>
        </w:tc>
        <w:tc>
          <w:tcPr>
            <w:tcW w:type="dxa" w:w="2909"/>
            <w:vAlign w:val="top"/>
          </w:tcPr>
          <w:p>
            <w:r>
              <w:t>Accept - modified</w:t>
            </w:r>
          </w:p>
        </w:tc>
        <w:tc>
          <w:tcPr>
            <w:tcW w:type="dxa" w:w="2909"/>
            <w:vAlign w:val="top"/>
          </w:tcPr>
          <w:p>
            <w:r>
              <w:t>Fact now depends on evidential sufficiency within defined scope, not source status. Classification and confidence are explicitly separate.</w:t>
            </w:r>
          </w:p>
        </w:tc>
        <w:tc>
          <w:tcPr>
            <w:tcW w:type="dxa" w:w="2909"/>
            <w:vAlign w:val="top"/>
          </w:tcPr>
          <w:p>
            <w:r>
              <w:t>TD-1, TD-4, Table 21 and glossary revised.</w:t>
            </w:r>
          </w:p>
        </w:tc>
      </w:tr>
      <w:tr>
        <w:tc>
          <w:tcPr>
            <w:tcW w:type="dxa" w:w="2909"/>
            <w:vAlign w:val="top"/>
          </w:tcPr>
          <w:p>
            <w:r>
              <w:t>R-03</w:t>
            </w:r>
          </w:p>
        </w:tc>
        <w:tc>
          <w:tcPr>
            <w:tcW w:type="dxa" w:w="2909"/>
            <w:vAlign w:val="top"/>
          </w:tcPr>
          <w:p>
            <w:r>
              <w:t>Major</w:t>
            </w:r>
          </w:p>
        </w:tc>
        <w:tc>
          <w:tcPr>
            <w:tcW w:type="dxa" w:w="2909"/>
            <w:vAlign w:val="top"/>
          </w:tcPr>
          <w:p>
            <w:r>
              <w:t>Accept - strengthened</w:t>
            </w:r>
          </w:p>
        </w:tc>
        <w:tc>
          <w:tcPr>
            <w:tcW w:type="dxa" w:w="2909"/>
            <w:vAlign w:val="top"/>
          </w:tcPr>
          <w:p>
            <w:r>
              <w:t>Multi-model provenance is attributed and every automated transformation chain must terminate in controlled-source verification.</w:t>
            </w:r>
          </w:p>
        </w:tc>
        <w:tc>
          <w:tcPr>
            <w:tcW w:type="dxa" w:w="2909"/>
            <w:vAlign w:val="top"/>
          </w:tcPr>
          <w:p>
            <w:r>
              <w:t>ET-4 plus metadata and templates.</w:t>
            </w:r>
          </w:p>
        </w:tc>
      </w:tr>
      <w:tr>
        <w:tc>
          <w:tcPr>
            <w:tcW w:type="dxa" w:w="2909"/>
            <w:vAlign w:val="top"/>
          </w:tcPr>
          <w:p>
            <w:r>
              <w:t>R-04</w:t>
            </w:r>
          </w:p>
        </w:tc>
        <w:tc>
          <w:tcPr>
            <w:tcW w:type="dxa" w:w="2909"/>
            <w:vAlign w:val="top"/>
          </w:tcPr>
          <w:p>
            <w:r>
              <w:t>Major</w:t>
            </w:r>
          </w:p>
        </w:tc>
        <w:tc>
          <w:tcPr>
            <w:tcW w:type="dxa" w:w="2909"/>
            <w:vAlign w:val="top"/>
          </w:tcPr>
          <w:p>
            <w:r>
              <w:t>Accept - clarified</w:t>
            </w:r>
          </w:p>
        </w:tc>
        <w:tc>
          <w:tcPr>
            <w:tcW w:type="dxa" w:w="2909"/>
            <w:vAlign w:val="top"/>
          </w:tcPr>
          <w:p>
            <w:r>
              <w:t>Draft Frozen is defined as fixed content; substantive edits require a new version. Limited non-substantive correction is logged.</w:t>
            </w:r>
          </w:p>
        </w:tc>
        <w:tc>
          <w:tcPr>
            <w:tcW w:type="dxa" w:w="2909"/>
            <w:vAlign w:val="top"/>
          </w:tcPr>
          <w:p>
            <w:r>
              <w:t>DC-2, CC-5, Table 32 and glossary revised; Table 32 propagation defect closed as V-01.</w:t>
            </w:r>
          </w:p>
        </w:tc>
      </w:tr>
      <w:tr>
        <w:tc>
          <w:tcPr>
            <w:tcW w:type="dxa" w:w="2909"/>
            <w:vAlign w:val="top"/>
          </w:tcPr>
          <w:p>
            <w:r>
              <w:t>R-05</w:t>
            </w:r>
          </w:p>
        </w:tc>
        <w:tc>
          <w:tcPr>
            <w:tcW w:type="dxa" w:w="2909"/>
            <w:vAlign w:val="top"/>
          </w:tcPr>
          <w:p>
            <w:r>
              <w:t>Major</w:t>
            </w:r>
          </w:p>
        </w:tc>
        <w:tc>
          <w:tcPr>
            <w:tcW w:type="dxa" w:w="2909"/>
            <w:vAlign w:val="top"/>
          </w:tcPr>
          <w:p>
            <w:r>
              <w:t>Accept at standard level; implementation mapping deferred</w:t>
            </w:r>
          </w:p>
        </w:tc>
        <w:tc>
          <w:tcPr>
            <w:tcW w:type="dxa" w:w="2909"/>
            <w:vAlign w:val="top"/>
          </w:tcPr>
          <w:p>
            <w:r>
              <w:t>EES now requires a published confidence crosswalk and separates status from confidence. The NHS-specific mapping is not embedded in the domain-independent standard.</w:t>
            </w:r>
          </w:p>
        </w:tc>
        <w:tc>
          <w:tcPr>
            <w:tcW w:type="dxa" w:w="2909"/>
            <w:vAlign w:val="top"/>
          </w:tcPr>
          <w:p>
            <w:r>
              <w:t>TD-4, CF-5 and templates.</w:t>
            </w:r>
          </w:p>
        </w:tc>
      </w:tr>
      <w:tr>
        <w:tc>
          <w:tcPr>
            <w:tcW w:type="dxa" w:w="2909"/>
            <w:vAlign w:val="top"/>
          </w:tcPr>
          <w:p>
            <w:r>
              <w:t>R-06</w:t>
            </w:r>
          </w:p>
        </w:tc>
        <w:tc>
          <w:tcPr>
            <w:tcW w:type="dxa" w:w="2909"/>
            <w:vAlign w:val="top"/>
          </w:tcPr>
          <w:p>
            <w:r>
              <w:t>Major</w:t>
            </w:r>
          </w:p>
        </w:tc>
        <w:tc>
          <w:tcPr>
            <w:tcW w:type="dxa" w:w="2909"/>
            <w:vAlign w:val="top"/>
          </w:tcPr>
          <w:p>
            <w:r>
              <w:t>Accept - domain-neutral rewrite</w:t>
            </w:r>
          </w:p>
        </w:tc>
        <w:tc>
          <w:tcPr>
            <w:tcW w:type="dxa" w:w="2909"/>
            <w:vAlign w:val="top"/>
          </w:tcPr>
          <w:p>
            <w:r>
              <w:t>Causal findings must declare the causal question, evidential threshold and framework/test, and distinguish association, risk, contribution and causation.</w:t>
            </w:r>
          </w:p>
        </w:tc>
        <w:tc>
          <w:tcPr>
            <w:tcW w:type="dxa" w:w="2909"/>
            <w:vAlign w:val="top"/>
          </w:tcPr>
          <w:p>
            <w:r>
              <w:t>CA-1, CA-2 and finding template.</w:t>
            </w:r>
          </w:p>
        </w:tc>
      </w:tr>
      <w:tr>
        <w:tc>
          <w:tcPr>
            <w:tcW w:type="dxa" w:w="2909"/>
            <w:vAlign w:val="top"/>
          </w:tcPr>
          <w:p>
            <w:r>
              <w:t>R-07</w:t>
            </w:r>
          </w:p>
        </w:tc>
        <w:tc>
          <w:tcPr>
            <w:tcW w:type="dxa" w:w="2909"/>
            <w:vAlign w:val="top"/>
          </w:tcPr>
          <w:p>
            <w:r>
              <w:t>Major</w:t>
            </w:r>
          </w:p>
        </w:tc>
        <w:tc>
          <w:tcPr>
            <w:tcW w:type="dxa" w:w="2909"/>
            <w:vAlign w:val="top"/>
          </w:tcPr>
          <w:p>
            <w:r>
              <w:t>Accept - modified</w:t>
            </w:r>
          </w:p>
        </w:tc>
        <w:tc>
          <w:tcPr>
            <w:tcW w:type="dxa" w:w="2909"/>
            <w:vAlign w:val="top"/>
          </w:tcPr>
          <w:p>
            <w:r>
              <w:t>Right of response is a mandatory documentation and fairness process without giving a subject veto.</w:t>
            </w:r>
          </w:p>
        </w:tc>
        <w:tc>
          <w:tcPr>
            <w:tcW w:type="dxa" w:w="2909"/>
            <w:vAlign w:val="top"/>
          </w:tcPr>
          <w:p>
            <w:r>
              <w:t>GV-4 and explanatory note.</w:t>
            </w:r>
          </w:p>
        </w:tc>
      </w:tr>
      <w:tr>
        <w:tc>
          <w:tcPr>
            <w:tcW w:type="dxa" w:w="2909"/>
            <w:vAlign w:val="top"/>
          </w:tcPr>
          <w:p>
            <w:r>
              <w:t>R-08</w:t>
            </w:r>
          </w:p>
        </w:tc>
        <w:tc>
          <w:tcPr>
            <w:tcW w:type="dxa" w:w="2909"/>
            <w:vAlign w:val="top"/>
          </w:tcPr>
          <w:p>
            <w:r>
              <w:t>Moderate</w:t>
            </w:r>
          </w:p>
        </w:tc>
        <w:tc>
          <w:tcPr>
            <w:tcW w:type="dxa" w:w="2909"/>
            <w:vAlign w:val="top"/>
          </w:tcPr>
          <w:p>
            <w:r>
              <w:t>Accept</w:t>
            </w:r>
          </w:p>
        </w:tc>
        <w:tc>
          <w:tcPr>
            <w:tcW w:type="dxa" w:w="2909"/>
            <w:vAlign w:val="top"/>
          </w:tcPr>
          <w:p>
            <w:r>
              <w:t>The knowledge chain is expressly a dependency model and recorded feedback loops are permitted.</w:t>
            </w:r>
          </w:p>
        </w:tc>
        <w:tc>
          <w:tcPr>
            <w:tcW w:type="dxa" w:w="2909"/>
            <w:vAlign w:val="top"/>
          </w:tcPr>
          <w:p>
            <w:r>
              <w:t>AR-5.</w:t>
            </w:r>
          </w:p>
        </w:tc>
      </w:tr>
      <w:tr>
        <w:tc>
          <w:tcPr>
            <w:tcW w:type="dxa" w:w="2909"/>
            <w:vAlign w:val="top"/>
          </w:tcPr>
          <w:p>
            <w:r>
              <w:t>R-09</w:t>
            </w:r>
          </w:p>
        </w:tc>
        <w:tc>
          <w:tcPr>
            <w:tcW w:type="dxa" w:w="2909"/>
            <w:vAlign w:val="top"/>
          </w:tcPr>
          <w:p>
            <w:r>
              <w:t>Moderate</w:t>
            </w:r>
          </w:p>
        </w:tc>
        <w:tc>
          <w:tcPr>
            <w:tcW w:type="dxa" w:w="2909"/>
            <w:vAlign w:val="top"/>
          </w:tcPr>
          <w:p>
            <w:r>
              <w:t>Partially accept / clarify existing content</w:t>
            </w:r>
          </w:p>
        </w:tc>
        <w:tc>
          <w:tcPr>
            <w:tcW w:type="dxa" w:w="2909"/>
            <w:vAlign w:val="top"/>
          </w:tcPr>
          <w:p>
            <w:r>
              <w:t>The MVR list already existed. It is now explicitly mandatory, aligned with conformance and expanded to include standards where relevant.</w:t>
            </w:r>
          </w:p>
        </w:tc>
        <w:tc>
          <w:tcPr>
            <w:tcW w:type="dxa" w:w="2909"/>
            <w:vAlign w:val="top"/>
          </w:tcPr>
          <w:p>
            <w:r>
              <w:t>AR-6, section 4.5 and Table 35.</w:t>
            </w:r>
          </w:p>
        </w:tc>
      </w:tr>
      <w:tr>
        <w:tc>
          <w:tcPr>
            <w:tcW w:type="dxa" w:w="2909"/>
            <w:vAlign w:val="top"/>
          </w:tcPr>
          <w:p>
            <w:r>
              <w:t>R-10</w:t>
            </w:r>
          </w:p>
        </w:tc>
        <w:tc>
          <w:tcPr>
            <w:tcW w:type="dxa" w:w="2909"/>
            <w:vAlign w:val="top"/>
          </w:tcPr>
          <w:p>
            <w:r>
              <w:t>Moderate</w:t>
            </w:r>
          </w:p>
        </w:tc>
        <w:tc>
          <w:tcPr>
            <w:tcW w:type="dxa" w:w="2909"/>
            <w:vAlign w:val="top"/>
          </w:tcPr>
          <w:p>
            <w:r>
              <w:t>Accept - strengthened</w:t>
            </w:r>
          </w:p>
        </w:tc>
        <w:tc>
          <w:tcPr>
            <w:tcW w:type="dxa" w:w="2909"/>
            <w:vAlign w:val="top"/>
          </w:tcPr>
          <w:p>
            <w:r>
              <w:t>Expected-evidence scheduling and explicit search boundaries now expose unknown and inaccessible gaps.</w:t>
            </w:r>
          </w:p>
        </w:tc>
        <w:tc>
          <w:tcPr>
            <w:tcW w:type="dxa" w:w="2909"/>
            <w:vAlign w:val="top"/>
          </w:tcPr>
          <w:p>
            <w:r>
              <w:t>RS-8 and EV-8.</w:t>
            </w:r>
          </w:p>
        </w:tc>
      </w:tr>
      <w:tr>
        <w:tc>
          <w:tcPr>
            <w:tcW w:type="dxa" w:w="2909"/>
            <w:vAlign w:val="top"/>
          </w:tcPr>
          <w:p>
            <w:r>
              <w:t>R-11</w:t>
            </w:r>
          </w:p>
        </w:tc>
        <w:tc>
          <w:tcPr>
            <w:tcW w:type="dxa" w:w="2909"/>
            <w:vAlign w:val="top"/>
          </w:tcPr>
          <w:p>
            <w:r>
              <w:t>Moderate</w:t>
            </w:r>
          </w:p>
        </w:tc>
        <w:tc>
          <w:tcPr>
            <w:tcW w:type="dxa" w:w="2909"/>
            <w:vAlign w:val="top"/>
          </w:tcPr>
          <w:p>
            <w:r>
              <w:t>Accept</w:t>
            </w:r>
          </w:p>
        </w:tc>
        <w:tc>
          <w:tcPr>
            <w:tcW w:type="dxa" w:w="2909"/>
            <w:vAlign w:val="top"/>
          </w:tcPr>
          <w:p>
            <w:r>
              <w:t>Material findings must record the principal credible alternative and why it was rejected or outweighed.</w:t>
            </w:r>
          </w:p>
        </w:tc>
        <w:tc>
          <w:tcPr>
            <w:tcW w:type="dxa" w:w="2909"/>
            <w:vAlign w:val="top"/>
          </w:tcPr>
          <w:p>
            <w:r>
              <w:t>AN-7 and finding template.</w:t>
            </w:r>
          </w:p>
        </w:tc>
      </w:tr>
      <w:tr>
        <w:tc>
          <w:tcPr>
            <w:tcW w:type="dxa" w:w="2909"/>
            <w:vAlign w:val="top"/>
          </w:tcPr>
          <w:p>
            <w:r>
              <w:t>R-12</w:t>
            </w:r>
          </w:p>
        </w:tc>
        <w:tc>
          <w:tcPr>
            <w:tcW w:type="dxa" w:w="2909"/>
            <w:vAlign w:val="top"/>
          </w:tcPr>
          <w:p>
            <w:r>
              <w:t>Moderate</w:t>
            </w:r>
          </w:p>
        </w:tc>
        <w:tc>
          <w:tcPr>
            <w:tcW w:type="dxa" w:w="2909"/>
            <w:vAlign w:val="top"/>
          </w:tcPr>
          <w:p>
            <w:r>
              <w:t>Accept</w:t>
            </w:r>
          </w:p>
        </w:tc>
        <w:tc>
          <w:tcPr>
            <w:tcW w:type="dxa" w:w="2909"/>
            <w:vAlign w:val="top"/>
          </w:tcPr>
          <w:p>
            <w:r>
              <w:t>Verification and validation are re-separated at release, lifecycle and roadmap points.</w:t>
            </w:r>
          </w:p>
        </w:tc>
        <w:tc>
          <w:tcPr>
            <w:tcW w:type="dxa" w:w="2909"/>
            <w:vAlign w:val="top"/>
          </w:tcPr>
          <w:p>
            <w:r>
              <w:t>VR-4 and sections 13, 15 and 18.</w:t>
            </w:r>
          </w:p>
        </w:tc>
      </w:tr>
      <w:tr>
        <w:tc>
          <w:tcPr>
            <w:tcW w:type="dxa" w:w="2909"/>
            <w:vAlign w:val="top"/>
          </w:tcPr>
          <w:p>
            <w:r>
              <w:t>R-13</w:t>
            </w:r>
          </w:p>
        </w:tc>
        <w:tc>
          <w:tcPr>
            <w:tcW w:type="dxa" w:w="2909"/>
            <w:vAlign w:val="top"/>
          </w:tcPr>
          <w:p>
            <w:r>
              <w:t>Moderate</w:t>
            </w:r>
          </w:p>
        </w:tc>
        <w:tc>
          <w:tcPr>
            <w:tcW w:type="dxa" w:w="2909"/>
            <w:vAlign w:val="top"/>
          </w:tcPr>
          <w:p>
            <w:r>
              <w:t>Accept - modified</w:t>
            </w:r>
          </w:p>
        </w:tc>
        <w:tc>
          <w:tcPr>
            <w:tcW w:type="dxa" w:w="2909"/>
            <w:vAlign w:val="top"/>
          </w:tcPr>
          <w:p>
            <w:r>
              <w:t>EES prefixes are canonical unless a stable published crosswalk is provided.</w:t>
            </w:r>
          </w:p>
        </w:tc>
        <w:tc>
          <w:tcPr>
            <w:tcW w:type="dxa" w:w="2909"/>
            <w:vAlign w:val="top"/>
          </w:tcPr>
          <w:p>
            <w:r>
              <w:t>Appendix B renamed and strengthened.</w:t>
            </w:r>
          </w:p>
        </w:tc>
      </w:tr>
      <w:tr>
        <w:tc>
          <w:tcPr>
            <w:tcW w:type="dxa" w:w="2909"/>
            <w:vAlign w:val="top"/>
          </w:tcPr>
          <w:p>
            <w:r>
              <w:t>R-14</w:t>
            </w:r>
          </w:p>
        </w:tc>
        <w:tc>
          <w:tcPr>
            <w:tcW w:type="dxa" w:w="2909"/>
            <w:vAlign w:val="top"/>
          </w:tcPr>
          <w:p>
            <w:r>
              <w:t>Moderate</w:t>
            </w:r>
          </w:p>
        </w:tc>
        <w:tc>
          <w:tcPr>
            <w:tcW w:type="dxa" w:w="2909"/>
            <w:vAlign w:val="top"/>
          </w:tcPr>
          <w:p>
            <w:r>
              <w:t>Partially accept / strengthen existing content</w:t>
            </w:r>
          </w:p>
        </w:tc>
        <w:tc>
          <w:tcPr>
            <w:tcW w:type="dxa" w:w="2909"/>
            <w:vAlign w:val="top"/>
          </w:tcPr>
          <w:p>
            <w:r>
              <w:t>The quality test already existed. It is now a release gate, with unresolved criteria recorded; ownership is added as a test.</w:t>
            </w:r>
          </w:p>
        </w:tc>
        <w:tc>
          <w:tcPr>
            <w:tcW w:type="dxa" w:w="2909"/>
            <w:vAlign w:val="top"/>
          </w:tcPr>
          <w:p>
            <w:r>
              <w:t>FR-8 and Table 25.</w:t>
            </w:r>
          </w:p>
        </w:tc>
      </w:tr>
      <w:tr>
        <w:tc>
          <w:tcPr>
            <w:tcW w:type="dxa" w:w="2909"/>
            <w:vAlign w:val="top"/>
          </w:tcPr>
          <w:p>
            <w:r>
              <w:t>R-15</w:t>
            </w:r>
          </w:p>
        </w:tc>
        <w:tc>
          <w:tcPr>
            <w:tcW w:type="dxa" w:w="2909"/>
            <w:vAlign w:val="top"/>
          </w:tcPr>
          <w:p>
            <w:r>
              <w:t>Minor</w:t>
            </w:r>
          </w:p>
        </w:tc>
        <w:tc>
          <w:tcPr>
            <w:tcW w:type="dxa" w:w="2909"/>
            <w:vAlign w:val="top"/>
          </w:tcPr>
          <w:p>
            <w:r>
              <w:t>Accept - targeted sweep</w:t>
            </w:r>
          </w:p>
        </w:tc>
        <w:tc>
          <w:tcPr>
            <w:tcW w:type="dxa" w:w="2909"/>
            <w:vAlign w:val="top"/>
          </w:tcPr>
          <w:p>
            <w:r>
              <w:t>Mandatory uses of “must” were changed to “shall”; descriptive and quoted uses were retained.</w:t>
            </w:r>
          </w:p>
        </w:tc>
        <w:tc>
          <w:tcPr>
            <w:tcW w:type="dxa" w:w="2909"/>
            <w:vAlign w:val="top"/>
          </w:tcPr>
          <w:p>
            <w:r>
              <w:t>Normative-language consistency pass.</w:t>
            </w:r>
          </w:p>
        </w:tc>
      </w:tr>
      <w:tr>
        <w:tc>
          <w:tcPr>
            <w:tcW w:type="dxa" w:w="2909"/>
            <w:vAlign w:val="top"/>
          </w:tcPr>
          <w:p>
            <w:r>
              <w:t>R-16</w:t>
            </w:r>
          </w:p>
        </w:tc>
        <w:tc>
          <w:tcPr>
            <w:tcW w:type="dxa" w:w="2909"/>
            <w:vAlign w:val="top"/>
          </w:tcPr>
          <w:p>
            <w:r>
              <w:t>Minor</w:t>
            </w:r>
          </w:p>
        </w:tc>
        <w:tc>
          <w:tcPr>
            <w:tcW w:type="dxa" w:w="2909"/>
            <w:vAlign w:val="top"/>
          </w:tcPr>
          <w:p>
            <w:r>
              <w:t>Accept - canonicalisation</w:t>
            </w:r>
          </w:p>
        </w:tc>
        <w:tc>
          <w:tcPr>
            <w:tcW w:type="dxa" w:w="2909"/>
            <w:vAlign w:val="top"/>
          </w:tcPr>
          <w:p>
            <w:r>
              <w:t>Appendix I is now the canonical brief; standalone copies are convenience artefacts and must version-match it.</w:t>
            </w:r>
          </w:p>
        </w:tc>
        <w:tc>
          <w:tcPr>
            <w:tcW w:type="dxa" w:w="2909"/>
            <w:vAlign w:val="top"/>
          </w:tcPr>
          <w:p>
            <w:r>
              <w:t>Appendix I revised.</w:t>
            </w:r>
          </w:p>
        </w:tc>
      </w:tr>
      <w:tr>
        <w:tc>
          <w:tcPr>
            <w:tcW w:type="dxa" w:w="2909"/>
            <w:vAlign w:val="top"/>
          </w:tcPr>
          <w:p>
            <w:r>
              <w:t>R-17</w:t>
            </w:r>
          </w:p>
        </w:tc>
        <w:tc>
          <w:tcPr>
            <w:tcW w:type="dxa" w:w="2909"/>
            <w:vAlign w:val="top"/>
          </w:tcPr>
          <w:p>
            <w:r>
              <w:t>Minor</w:t>
            </w:r>
          </w:p>
        </w:tc>
        <w:tc>
          <w:tcPr>
            <w:tcW w:type="dxa" w:w="2909"/>
            <w:vAlign w:val="top"/>
          </w:tcPr>
          <w:p>
            <w:r>
              <w:t>Accept - final status updated</w:t>
            </w:r>
          </w:p>
        </w:tc>
        <w:tc>
          <w:tcPr>
            <w:tcW w:type="dxa" w:w="2909"/>
            <w:vAlign w:val="top"/>
          </w:tcPr>
          <w:p>
            <w:r>
              <w:t>The executive summary and release controls now identify v0.2 as Draft Frozen / Verified while preserving the explicit non-validation statement.</w:t>
            </w:r>
          </w:p>
        </w:tc>
        <w:tc>
          <w:tcPr>
            <w:tcW w:type="dxa" w:w="2909"/>
            <w:vAlign w:val="top"/>
          </w:tcPr>
          <w:p>
            <w:r>
              <w:t>Title page, Executive Summary, sections 13 and 18, header and closing statement revised.</w:t>
            </w:r>
          </w:p>
        </w:tc>
      </w:tr>
      <w:tr>
        <w:tc>
          <w:tcPr>
            <w:tcW w:type="dxa" w:w="2909"/>
            <w:vAlign w:val="top"/>
          </w:tcPr>
          <w:p>
            <w:r>
              <w:t>R-18</w:t>
            </w:r>
          </w:p>
        </w:tc>
        <w:tc>
          <w:tcPr>
            <w:tcW w:type="dxa" w:w="2909"/>
            <w:vAlign w:val="top"/>
          </w:tcPr>
          <w:p>
            <w:r>
              <w:t>Minor</w:t>
            </w:r>
          </w:p>
        </w:tc>
        <w:tc>
          <w:tcPr>
            <w:tcW w:type="dxa" w:w="2909"/>
            <w:vAlign w:val="top"/>
          </w:tcPr>
          <w:p>
            <w:r>
              <w:t>Accept - operationalised</w:t>
            </w:r>
          </w:p>
        </w:tc>
        <w:tc>
          <w:tcPr>
            <w:tcW w:type="dxa" w:w="2909"/>
            <w:vAlign w:val="top"/>
          </w:tcPr>
          <w:p>
            <w:r>
              <w:t>Accessibility now has testable requirements for semantic structure, reading order, table headers, descriptive links and visual alternatives.</w:t>
            </w:r>
          </w:p>
        </w:tc>
        <w:tc>
          <w:tcPr>
            <w:tcW w:type="dxa" w:w="2909"/>
            <w:vAlign w:val="top"/>
          </w:tcPr>
          <w:p>
            <w:r>
              <w:t>AX-1, AX-2 and checklist.</w:t>
            </w:r>
          </w:p>
        </w:tc>
      </w:tr>
      <w:tr>
        <w:tc>
          <w:tcPr>
            <w:tcW w:type="dxa" w:w="2909"/>
            <w:vAlign w:val="top"/>
          </w:tcPr>
          <w:p>
            <w:r>
              <w:t>R-19</w:t>
            </w:r>
          </w:p>
        </w:tc>
        <w:tc>
          <w:tcPr>
            <w:tcW w:type="dxa" w:w="2909"/>
            <w:vAlign w:val="top"/>
          </w:tcPr>
          <w:p>
            <w:r>
              <w:t>Observation</w:t>
            </w:r>
          </w:p>
        </w:tc>
        <w:tc>
          <w:tcPr>
            <w:tcW w:type="dxa" w:w="2909"/>
            <w:vAlign w:val="top"/>
          </w:tcPr>
          <w:p>
            <w:r>
              <w:t>Defer</w:t>
            </w:r>
          </w:p>
        </w:tc>
        <w:tc>
          <w:tcPr>
            <w:tcW w:type="dxa" w:w="2909"/>
            <w:vAlign w:val="top"/>
          </w:tcPr>
          <w:p>
            <w:r>
              <w:t>A worked example will be added only after primary-source and legal-characterisation verification. No CWPT-specific worked example is included in v0.2.</w:t>
            </w:r>
          </w:p>
        </w:tc>
        <w:tc>
          <w:tcPr>
            <w:tcW w:type="dxa" w:w="2909"/>
            <w:vAlign w:val="top"/>
          </w:tcPr>
          <w:p>
            <w:r>
              <w:t>Deferred to the reference implementation or a later non-normative appendix.</w:t>
            </w:r>
          </w:p>
        </w:tc>
      </w:tr>
      <w:tr>
        <w:tc>
          <w:tcPr>
            <w:tcW w:type="dxa" w:w="2909"/>
            <w:vAlign w:val="top"/>
          </w:tcPr>
          <w:p>
            <w:r>
              <w:t>R-20</w:t>
            </w:r>
          </w:p>
        </w:tc>
        <w:tc>
          <w:tcPr>
            <w:tcW w:type="dxa" w:w="2909"/>
            <w:vAlign w:val="top"/>
          </w:tcPr>
          <w:p>
            <w:r>
              <w:t>Observation</w:t>
            </w:r>
          </w:p>
        </w:tc>
        <w:tc>
          <w:tcPr>
            <w:tcW w:type="dxa" w:w="2909"/>
            <w:vAlign w:val="top"/>
          </w:tcPr>
          <w:p>
            <w:r>
              <w:t>Accept</w:t>
            </w:r>
          </w:p>
        </w:tc>
        <w:tc>
          <w:tcPr>
            <w:tcW w:type="dxa" w:w="2909"/>
            <w:vAlign w:val="top"/>
          </w:tcPr>
          <w:p>
            <w:r>
              <w:t>The traceability-matrix text now forward-references Appendix B.</w:t>
            </w:r>
          </w:p>
        </w:tc>
        <w:tc>
          <w:tcPr>
            <w:tcW w:type="dxa" w:w="2909"/>
            <w:vAlign w:val="top"/>
          </w:tcPr>
          <w:p>
            <w:r>
              <w:t>Section 11.2 revised.</w:t>
            </w:r>
          </w:p>
        </w:tc>
      </w:tr>
      <w:tr>
        <w:tc>
          <w:tcPr>
            <w:tcW w:type="dxa" w:w="2909"/>
            <w:vAlign w:val="top"/>
          </w:tcPr>
          <w:p>
            <w:r>
              <w:t>R-21</w:t>
            </w:r>
          </w:p>
        </w:tc>
        <w:tc>
          <w:tcPr>
            <w:tcW w:type="dxa" w:w="2909"/>
            <w:vAlign w:val="top"/>
          </w:tcPr>
          <w:p>
            <w:r>
              <w:t>Observation</w:t>
            </w:r>
          </w:p>
        </w:tc>
        <w:tc>
          <w:tcPr>
            <w:tcW w:type="dxa" w:w="2909"/>
            <w:vAlign w:val="top"/>
          </w:tcPr>
          <w:p>
            <w:r>
              <w:t>Accept - reframed</w:t>
            </w:r>
          </w:p>
        </w:tc>
        <w:tc>
          <w:tcPr>
            <w:tcW w:type="dxa" w:w="2909"/>
            <w:vAlign w:val="top"/>
          </w:tcPr>
          <w:p>
            <w:r>
              <w:t>The manifesto is retained as expressly non-normative philosophy after the conformance boundary.</w:t>
            </w:r>
          </w:p>
        </w:tc>
        <w:tc>
          <w:tcPr>
            <w:tcW w:type="dxa" w:w="2909"/>
            <w:vAlign w:val="top"/>
          </w:tcPr>
          <w:p>
            <w:r>
              <w:t>Appendix H renamed and caveated.</w:t>
            </w:r>
          </w:p>
        </w:tc>
      </w:tr>
      <w:tr>
        <w:tc>
          <w:tcPr>
            <w:tcW w:type="dxa" w:w="2909"/>
            <w:vAlign w:val="top"/>
          </w:tcPr>
          <w:p>
            <w:r>
              <w:t>V-01</w:t>
            </w:r>
          </w:p>
        </w:tc>
        <w:tc>
          <w:tcPr>
            <w:tcW w:type="dxa" w:w="2909"/>
            <w:vAlign w:val="top"/>
          </w:tcPr>
          <w:p>
            <w:r>
              <w:t>Required</w:t>
            </w:r>
          </w:p>
        </w:tc>
        <w:tc>
          <w:tcPr>
            <w:tcW w:type="dxa" w:w="2909"/>
            <w:vAlign w:val="top"/>
          </w:tcPr>
          <w:p>
            <w:r>
              <w:t>Applied</w:t>
            </w:r>
          </w:p>
        </w:tc>
        <w:tc>
          <w:tcPr>
            <w:tcW w:type="dxa" w:w="2909"/>
            <w:vAlign w:val="top"/>
          </w:tcPr>
          <w:p>
            <w:r>
              <w:t>Final regression review found a residual conflict between Table 32 and CC-5/DC-2. The table now prohibits substantive in-place change and requires a new controlled version.</w:t>
            </w:r>
          </w:p>
        </w:tc>
        <w:tc>
          <w:tcPr>
            <w:tcW w:type="dxa" w:w="2909"/>
            <w:vAlign w:val="top"/>
          </w:tcPr>
          <w:p>
            <w:r>
              <w:t>Table 32 Draft Frozen definition replaced.</w:t>
            </w:r>
          </w:p>
        </w:tc>
      </w:tr>
      <w:tr>
        <w:tc>
          <w:tcPr>
            <w:tcW w:type="dxa" w:w="2909"/>
            <w:vAlign w:val="top"/>
          </w:tcPr>
          <w:p>
            <w:r>
              <w:t>P-01</w:t>
            </w:r>
          </w:p>
        </w:tc>
        <w:tc>
          <w:tcPr>
            <w:tcW w:type="dxa" w:w="2909"/>
            <w:vAlign w:val="top"/>
          </w:tcPr>
          <w:p>
            <w:r>
              <w:t>Optional</w:t>
            </w:r>
          </w:p>
        </w:tc>
        <w:tc>
          <w:tcPr>
            <w:tcW w:type="dxa" w:w="2909"/>
            <w:vAlign w:val="top"/>
          </w:tcPr>
          <w:p>
            <w:r>
              <w:t>Applied</w:t>
            </w:r>
          </w:p>
        </w:tc>
        <w:tc>
          <w:tcPr>
            <w:tcW w:type="dxa" w:w="2909"/>
            <w:vAlign w:val="top"/>
          </w:tcPr>
          <w:p>
            <w:r>
              <w:t>The finding template now directly points implementers to the governing causation clauses.</w:t>
            </w:r>
          </w:p>
        </w:tc>
        <w:tc>
          <w:tcPr>
            <w:tcW w:type="dxa" w:w="2909"/>
            <w:vAlign w:val="top"/>
          </w:tcPr>
          <w:p>
            <w:r>
              <w:t>Table 43 field cross-references CA-1/CA-2.</w:t>
            </w:r>
          </w:p>
        </w:tc>
      </w:tr>
      <w:tr>
        <w:tc>
          <w:tcPr>
            <w:tcW w:type="dxa" w:w="2909"/>
            <w:vAlign w:val="top"/>
          </w:tcPr>
          <w:p>
            <w:r>
              <w:t>P-02</w:t>
            </w:r>
          </w:p>
        </w:tc>
        <w:tc>
          <w:tcPr>
            <w:tcW w:type="dxa" w:w="2909"/>
            <w:vAlign w:val="top"/>
          </w:tcPr>
          <w:p>
            <w:r>
              <w:t>Optional</w:t>
            </w:r>
          </w:p>
        </w:tc>
        <w:tc>
          <w:tcPr>
            <w:tcW w:type="dxa" w:w="2909"/>
            <w:vAlign w:val="top"/>
          </w:tcPr>
          <w:p>
            <w:r>
              <w:t>Applied</w:t>
            </w:r>
          </w:p>
        </w:tc>
        <w:tc>
          <w:tcPr>
            <w:tcW w:type="dxa" w:w="2909"/>
            <w:vAlign w:val="top"/>
          </w:tcPr>
          <w:p>
            <w:r>
              <w:t>Deferred evidence work is now tracked inside the controlled specification rather than only in the companion register.</w:t>
            </w:r>
          </w:p>
        </w:tc>
        <w:tc>
          <w:tcPr>
            <w:tcW w:type="dxa" w:w="2909"/>
            <w:vAlign w:val="top"/>
          </w:tcPr>
          <w:p>
            <w:r>
              <w:t>Section 14.4 improvement register expanded.</w:t>
            </w:r>
          </w:p>
        </w:tc>
      </w:tr>
    </w:tbl>
    <w:p>
      <w:pPr>
        <w:pStyle w:val="Heading1"/>
      </w:pPr>
      <w:r>
        <w:t>Deferred evidence integration</w:t>
      </w:r>
    </w:p>
    <w:p>
      <w:pPr/>
      <w:r>
        <w:t>The following material is intentionally outside this release:</w:t>
      </w:r>
    </w:p>
    <w:p>
      <w:pPr>
        <w:pStyle w:val="ListBullet"/>
      </w:pPr>
      <w:r>
        <w:t>CWPT-specific worked examples or legal findings.</w:t>
      </w:r>
    </w:p>
    <w:p>
      <w:pPr>
        <w:pStyle w:val="ListBullet"/>
      </w:pPr>
      <w:r>
        <w:t>Cross-trust patient-safety case synthesis under active Kimi research.</w:t>
      </w:r>
    </w:p>
    <w:p>
      <w:pPr>
        <w:pStyle w:val="ListBullet"/>
      </w:pPr>
      <w:r>
        <w:t>Implementation-specific confidence mappings for the NHS ADHD repository.</w:t>
      </w:r>
    </w:p>
    <w:p>
      <w:pPr>
        <w:pStyle w:val="ListBullet"/>
      </w:pPr>
      <w:r>
        <w:t>Any statement requiring independent verification of clinical records, correspondence, policy versions or legal applicability.</w:t>
      </w:r>
    </w:p>
    <w:p>
      <w:r>
        <w:t>These items may inform the reference implementation or a later non-normative appendix. They shall not alter the domain-independent standard unless implementation evidence demonstrates a reusable methodological need.</w:t>
      </w:r>
    </w:p>
    <w:p>
      <w:pPr/>
      <w:r>
        <w:t>Final validation closure: Claude’s focused step-3 regression pass found one required propagation defect (V-01) and two optional polish points. All three have been applied. Under EES terminology, v0.2 is Draft Frozen and verified for implementation testing; validation of fitness for purpose remains dependent on implementation evidence.</w:t>
      </w:r>
    </w:p>
    <w:sectPr w:rsidR="00FC693F" w:rsidRPr="0006063C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EES v0.2 Review Resolution Register</dc:title>
  <dc:subject>Final resolution and regression closure register for EES v0.2</dc:subject>
  <dc:creator>MJB UK ADHD Crisis Project</dc:creator>
  <cp:keywords/>
  <dc:description>Includes Claude final validation findings V-01, P-01 and P-02.</dc:description>
  <cp:lastModifiedBy/>
  <cp:revision>1</cp:revision>
  <dcterms:created xsi:type="dcterms:W3CDTF">2013-12-23T23:15:00Z</dcterms:created>
  <dcterms:modified xsi:type="dcterms:W3CDTF">2013-12-23T23:15:00Z</dcterms:modified>
  <cp:category/>
  <cp:version>0.2</cp:version>
</cp:coreProperties>
</file>